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D" w:rsidRDefault="00220AAD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75pt;margin-top:-46.5pt;width:182.25pt;height:74.25pt;z-index:251658240" stroked="f">
            <v:textbox>
              <w:txbxContent>
                <w:p w:rsidR="00EB358E" w:rsidRDefault="006A02D1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928495" cy="842010"/>
                        <wp:effectExtent l="19050" t="0" r="0" b="0"/>
                        <wp:docPr id="1" name="Picture 0" descr="LGAT Colour Logo (Lowest Resolution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GAT Colour Logo (Lowest Resolution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8495" cy="842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358E" w:rsidRDefault="00EB358E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44"/>
          <w:szCs w:val="44"/>
        </w:rPr>
      </w:pPr>
    </w:p>
    <w:p w:rsidR="00B1521F" w:rsidRPr="003B2CCD" w:rsidRDefault="003B2CCD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44"/>
          <w:szCs w:val="44"/>
        </w:rPr>
      </w:pPr>
      <w:r w:rsidRPr="003B2CCD">
        <w:rPr>
          <w:rFonts w:ascii="Arial" w:hAnsi="Arial" w:cs="Arial"/>
          <w:b/>
          <w:sz w:val="44"/>
          <w:szCs w:val="44"/>
        </w:rPr>
        <w:t>MEDIA RELEASE</w:t>
      </w:r>
    </w:p>
    <w:p w:rsidR="00C016F3" w:rsidRDefault="00C016F3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3B2CCD" w:rsidRDefault="009D0027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22 July 2016</w:t>
      </w:r>
    </w:p>
    <w:p w:rsidR="00C016F3" w:rsidRDefault="009226F1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703831" w:rsidRDefault="009D0027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 Local G</w:t>
      </w:r>
      <w:r w:rsidR="009226F1">
        <w:rPr>
          <w:rFonts w:ascii="Arial" w:hAnsi="Arial" w:cs="Arial"/>
          <w:b/>
          <w:sz w:val="24"/>
          <w:szCs w:val="24"/>
        </w:rPr>
        <w:t>overnment Awards for Excellence</w:t>
      </w:r>
      <w:r w:rsidR="00B5524E">
        <w:rPr>
          <w:rFonts w:ascii="Arial" w:hAnsi="Arial" w:cs="Arial"/>
          <w:b/>
          <w:sz w:val="24"/>
          <w:szCs w:val="24"/>
        </w:rPr>
        <w:t xml:space="preserve"> Winners Announced</w:t>
      </w:r>
    </w:p>
    <w:p w:rsidR="00D85E21" w:rsidRDefault="00D85E21" w:rsidP="00D85E21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D0027" w:rsidRDefault="009D0027" w:rsidP="00D85E21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Circular Head Council and Clarence City Council have been declared the winners of the 2016 Local Government Awards for Excellence.</w:t>
      </w:r>
    </w:p>
    <w:p w:rsidR="009D0027" w:rsidRDefault="009D0027" w:rsidP="00D85E21">
      <w:pPr>
        <w:spacing w:after="0" w:line="240" w:lineRule="auto"/>
        <w:ind w:left="426"/>
        <w:rPr>
          <w:rFonts w:ascii="Arial" w:hAnsi="Arial" w:cs="Arial"/>
        </w:rPr>
      </w:pPr>
    </w:p>
    <w:p w:rsidR="00A541F1" w:rsidRDefault="00703831" w:rsidP="00D85E21">
      <w:pPr>
        <w:spacing w:after="0" w:line="240" w:lineRule="auto"/>
        <w:ind w:left="426"/>
        <w:rPr>
          <w:rFonts w:ascii="Arial" w:hAnsi="Arial" w:cs="Arial"/>
        </w:rPr>
      </w:pPr>
      <w:r w:rsidRPr="008B1045">
        <w:rPr>
          <w:rFonts w:ascii="Arial" w:hAnsi="Arial" w:cs="Arial"/>
        </w:rPr>
        <w:t>Circular Head Council’s novel initiative addressing literacy by encouraging children to read</w:t>
      </w:r>
      <w:r w:rsidR="009226F1">
        <w:rPr>
          <w:rFonts w:ascii="Arial" w:hAnsi="Arial" w:cs="Arial"/>
        </w:rPr>
        <w:t xml:space="preserve"> won the </w:t>
      </w:r>
      <w:r w:rsidR="009226F1" w:rsidRPr="009226F1">
        <w:rPr>
          <w:rFonts w:ascii="Arial" w:hAnsi="Arial" w:cs="Arial"/>
          <w:i/>
        </w:rPr>
        <w:t>Delivering Excellence - Smaller Councils (populations under 15,000)</w:t>
      </w:r>
      <w:r w:rsidR="009226F1">
        <w:rPr>
          <w:rFonts w:ascii="Arial" w:hAnsi="Arial" w:cs="Arial"/>
        </w:rPr>
        <w:t xml:space="preserve"> Award</w:t>
      </w:r>
      <w:r w:rsidR="00A541F1">
        <w:rPr>
          <w:rFonts w:ascii="Arial" w:hAnsi="Arial" w:cs="Arial"/>
        </w:rPr>
        <w:t>.</w:t>
      </w:r>
    </w:p>
    <w:p w:rsidR="00A541F1" w:rsidRDefault="00A541F1" w:rsidP="00D85E21">
      <w:pPr>
        <w:spacing w:after="0" w:line="240" w:lineRule="auto"/>
        <w:ind w:left="426"/>
        <w:rPr>
          <w:rFonts w:ascii="Arial" w:hAnsi="Arial" w:cs="Arial"/>
        </w:rPr>
      </w:pPr>
    </w:p>
    <w:p w:rsidR="00A541F1" w:rsidRDefault="00A541F1" w:rsidP="00D85E21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03831" w:rsidRPr="008B1045">
        <w:rPr>
          <w:rFonts w:ascii="Arial" w:hAnsi="Arial" w:cs="Arial"/>
        </w:rPr>
        <w:t xml:space="preserve"> project by Clarence City Council that provides people with the opportunity to have meaningful conversations about death, grief and end-of-life planning </w:t>
      </w:r>
      <w:r w:rsidR="009226F1">
        <w:rPr>
          <w:rFonts w:ascii="Arial" w:hAnsi="Arial" w:cs="Arial"/>
        </w:rPr>
        <w:t xml:space="preserve">took out the </w:t>
      </w:r>
      <w:r w:rsidR="009226F1" w:rsidRPr="009226F1">
        <w:rPr>
          <w:rFonts w:ascii="Arial" w:hAnsi="Arial" w:cs="Arial"/>
          <w:i/>
        </w:rPr>
        <w:t xml:space="preserve">Delivering Excellence - Larger Councils </w:t>
      </w:r>
      <w:r w:rsidR="0082442C">
        <w:rPr>
          <w:rFonts w:ascii="Arial" w:hAnsi="Arial" w:cs="Arial"/>
          <w:i/>
        </w:rPr>
        <w:t xml:space="preserve">(populations over </w:t>
      </w:r>
      <w:r w:rsidR="009226F1" w:rsidRPr="009226F1">
        <w:rPr>
          <w:rFonts w:ascii="Arial" w:hAnsi="Arial" w:cs="Arial"/>
          <w:i/>
        </w:rPr>
        <w:t>15,000)</w:t>
      </w:r>
      <w:r w:rsidR="009226F1">
        <w:rPr>
          <w:rFonts w:ascii="Arial" w:hAnsi="Arial" w:cs="Arial"/>
          <w:i/>
        </w:rPr>
        <w:t xml:space="preserve"> Award.</w:t>
      </w:r>
      <w:r w:rsidR="009226F1" w:rsidRPr="009226F1">
        <w:rPr>
          <w:rFonts w:ascii="Arial" w:hAnsi="Arial" w:cs="Arial"/>
        </w:rPr>
        <w:t xml:space="preserve"> </w:t>
      </w:r>
      <w:r w:rsidR="009226F1">
        <w:rPr>
          <w:rFonts w:ascii="Arial" w:hAnsi="Arial" w:cs="Arial"/>
        </w:rPr>
        <w:t xml:space="preserve"> </w:t>
      </w:r>
    </w:p>
    <w:p w:rsidR="00A541F1" w:rsidRDefault="00A541F1" w:rsidP="00D85E21">
      <w:pPr>
        <w:spacing w:after="0" w:line="240" w:lineRule="auto"/>
        <w:ind w:left="426"/>
        <w:rPr>
          <w:rFonts w:ascii="Arial" w:hAnsi="Arial" w:cs="Arial"/>
        </w:rPr>
      </w:pPr>
    </w:p>
    <w:p w:rsidR="009226F1" w:rsidRDefault="009226F1" w:rsidP="00D85E21">
      <w:pPr>
        <w:spacing w:after="0" w:line="240" w:lineRule="auto"/>
        <w:ind w:left="426"/>
        <w:rPr>
          <w:rFonts w:ascii="Arial" w:hAnsi="Arial" w:cs="Arial"/>
        </w:rPr>
      </w:pPr>
      <w:r w:rsidRPr="008B1045">
        <w:rPr>
          <w:rFonts w:ascii="Arial" w:hAnsi="Arial" w:cs="Arial"/>
        </w:rPr>
        <w:t>This year saw an extremely strong field of entries vying for the honours</w:t>
      </w:r>
      <w:r w:rsidR="002A5E30">
        <w:rPr>
          <w:rFonts w:ascii="Arial" w:hAnsi="Arial" w:cs="Arial"/>
        </w:rPr>
        <w:t xml:space="preserve"> with projects ranging from recycling, bridges and community planning, to youth boat building, festivals and food security.</w:t>
      </w:r>
    </w:p>
    <w:p w:rsidR="00CA7BCD" w:rsidRDefault="00CA7BCD" w:rsidP="00D85E21">
      <w:pPr>
        <w:spacing w:after="0" w:line="240" w:lineRule="auto"/>
        <w:ind w:left="426"/>
        <w:rPr>
          <w:rFonts w:ascii="Arial" w:hAnsi="Arial" w:cs="Arial"/>
        </w:rPr>
      </w:pPr>
    </w:p>
    <w:p w:rsidR="00EB358E" w:rsidRDefault="008B1045" w:rsidP="00D85E21">
      <w:pPr>
        <w:spacing w:after="0" w:line="240" w:lineRule="auto"/>
        <w:ind w:left="426"/>
        <w:rPr>
          <w:rFonts w:ascii="Arial" w:hAnsi="Arial" w:cs="Arial"/>
        </w:rPr>
      </w:pPr>
      <w:r w:rsidRPr="008B1045">
        <w:rPr>
          <w:rFonts w:ascii="Arial" w:hAnsi="Arial" w:cs="Arial"/>
        </w:rPr>
        <w:t>Circular Head Council won its award for a whole of community literacy</w:t>
      </w:r>
      <w:r w:rsidR="00AD00C2">
        <w:rPr>
          <w:rFonts w:ascii="Arial" w:hAnsi="Arial" w:cs="Arial"/>
        </w:rPr>
        <w:t xml:space="preserve"> project called </w:t>
      </w:r>
      <w:r w:rsidR="00AD00C2" w:rsidRPr="00CA7BCD">
        <w:rPr>
          <w:rFonts w:ascii="Arial" w:hAnsi="Arial" w:cs="Arial"/>
          <w:i/>
        </w:rPr>
        <w:t>The Reading Bug</w:t>
      </w:r>
      <w:r w:rsidRPr="00CA7BCD">
        <w:rPr>
          <w:rFonts w:ascii="Arial" w:hAnsi="Arial" w:cs="Arial"/>
          <w:i/>
        </w:rPr>
        <w:t xml:space="preserve"> Egg</w:t>
      </w:r>
      <w:r w:rsidRPr="008B1045">
        <w:rPr>
          <w:rFonts w:ascii="Arial" w:hAnsi="Arial" w:cs="Arial"/>
        </w:rPr>
        <w:t xml:space="preserve">. </w:t>
      </w:r>
      <w:r w:rsidR="00587BC7">
        <w:rPr>
          <w:rFonts w:ascii="Arial" w:hAnsi="Arial" w:cs="Arial"/>
        </w:rPr>
        <w:t xml:space="preserve"> </w:t>
      </w:r>
      <w:r w:rsidR="00CA7BCD">
        <w:rPr>
          <w:rFonts w:ascii="Arial" w:hAnsi="Arial" w:cs="Arial"/>
        </w:rPr>
        <w:t>The project</w:t>
      </w:r>
      <w:r w:rsidRPr="008B1045">
        <w:rPr>
          <w:rFonts w:ascii="Arial" w:hAnsi="Arial" w:cs="Arial"/>
        </w:rPr>
        <w:t xml:space="preserve"> was initiated in response to research indicating major literacy issues in the </w:t>
      </w:r>
      <w:r w:rsidR="00EB358E">
        <w:rPr>
          <w:rFonts w:ascii="Arial" w:hAnsi="Arial" w:cs="Arial"/>
        </w:rPr>
        <w:t>Municipal</w:t>
      </w:r>
      <w:r w:rsidR="00CA7BCD">
        <w:rPr>
          <w:rFonts w:ascii="Arial" w:hAnsi="Arial" w:cs="Arial"/>
        </w:rPr>
        <w:t xml:space="preserve"> Area</w:t>
      </w:r>
      <w:r w:rsidRPr="008B1045">
        <w:rPr>
          <w:rFonts w:ascii="Arial" w:hAnsi="Arial" w:cs="Arial"/>
        </w:rPr>
        <w:t xml:space="preserve"> and </w:t>
      </w:r>
      <w:r w:rsidR="00CA7BCD">
        <w:rPr>
          <w:rFonts w:ascii="Arial" w:hAnsi="Arial" w:cs="Arial"/>
        </w:rPr>
        <w:t xml:space="preserve">the concept </w:t>
      </w:r>
      <w:r w:rsidR="00EB358E">
        <w:rPr>
          <w:rFonts w:ascii="Arial" w:hAnsi="Arial" w:cs="Arial"/>
        </w:rPr>
        <w:t xml:space="preserve">was </w:t>
      </w:r>
      <w:r w:rsidRPr="008B1045">
        <w:rPr>
          <w:rFonts w:ascii="Arial" w:hAnsi="Arial" w:cs="Arial"/>
        </w:rPr>
        <w:t xml:space="preserve">adapted from a similar </w:t>
      </w:r>
      <w:r w:rsidR="00EB358E">
        <w:rPr>
          <w:rFonts w:ascii="Arial" w:hAnsi="Arial" w:cs="Arial"/>
        </w:rPr>
        <w:t>project</w:t>
      </w:r>
      <w:r w:rsidRPr="008B1045">
        <w:rPr>
          <w:rFonts w:ascii="Arial" w:hAnsi="Arial" w:cs="Arial"/>
        </w:rPr>
        <w:t xml:space="preserve"> in rural NSW.</w:t>
      </w:r>
      <w:r w:rsidR="00EB358E">
        <w:rPr>
          <w:rFonts w:ascii="Arial" w:hAnsi="Arial" w:cs="Arial"/>
        </w:rPr>
        <w:t xml:space="preserve">  </w:t>
      </w:r>
    </w:p>
    <w:p w:rsidR="00EB358E" w:rsidRDefault="00EB358E" w:rsidP="00D85E21">
      <w:pPr>
        <w:spacing w:after="0" w:line="240" w:lineRule="auto"/>
        <w:ind w:left="426"/>
        <w:rPr>
          <w:rFonts w:ascii="Arial" w:hAnsi="Arial" w:cs="Arial"/>
        </w:rPr>
      </w:pPr>
    </w:p>
    <w:p w:rsidR="008B1045" w:rsidRDefault="00A541F1" w:rsidP="00D85E21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Central to the project is </w:t>
      </w:r>
      <w:r w:rsidR="008B1045" w:rsidRPr="008B104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‘</w:t>
      </w:r>
      <w:r w:rsidR="008B1045" w:rsidRPr="008B1045">
        <w:rPr>
          <w:rFonts w:ascii="Arial" w:hAnsi="Arial" w:cs="Arial"/>
        </w:rPr>
        <w:t>rare egg</w:t>
      </w:r>
      <w:r>
        <w:rPr>
          <w:rFonts w:ascii="Arial" w:hAnsi="Arial" w:cs="Arial"/>
        </w:rPr>
        <w:t>’</w:t>
      </w:r>
      <w:r w:rsidR="008B1045" w:rsidRPr="008B1045">
        <w:rPr>
          <w:rFonts w:ascii="Arial" w:hAnsi="Arial" w:cs="Arial"/>
        </w:rPr>
        <w:t xml:space="preserve"> which needs to be read to in order to hatch.  The </w:t>
      </w:r>
      <w:r>
        <w:rPr>
          <w:rFonts w:ascii="Arial" w:hAnsi="Arial" w:cs="Arial"/>
        </w:rPr>
        <w:t xml:space="preserve">Reading Bug </w:t>
      </w:r>
      <w:r w:rsidR="00734AC8">
        <w:rPr>
          <w:rFonts w:ascii="Arial" w:hAnsi="Arial" w:cs="Arial"/>
        </w:rPr>
        <w:t>E</w:t>
      </w:r>
      <w:r w:rsidR="008B1045" w:rsidRPr="008B1045">
        <w:rPr>
          <w:rFonts w:ascii="Arial" w:hAnsi="Arial" w:cs="Arial"/>
        </w:rPr>
        <w:t xml:space="preserve">gg visited schools, community events, even a council meeting to be read to.  In the nine months since the project started, </w:t>
      </w:r>
      <w:r>
        <w:rPr>
          <w:rFonts w:ascii="Arial" w:hAnsi="Arial" w:cs="Arial"/>
        </w:rPr>
        <w:t xml:space="preserve">nearly </w:t>
      </w:r>
      <w:r w:rsidR="008B1045" w:rsidRPr="008B1045">
        <w:rPr>
          <w:rFonts w:ascii="Arial" w:hAnsi="Arial" w:cs="Arial"/>
        </w:rPr>
        <w:t>3,000 books ha</w:t>
      </w:r>
      <w:r>
        <w:rPr>
          <w:rFonts w:ascii="Arial" w:hAnsi="Arial" w:cs="Arial"/>
        </w:rPr>
        <w:t>ve</w:t>
      </w:r>
      <w:r w:rsidR="008B1045" w:rsidRPr="008B1045">
        <w:rPr>
          <w:rFonts w:ascii="Arial" w:hAnsi="Arial" w:cs="Arial"/>
        </w:rPr>
        <w:t xml:space="preserve"> been read </w:t>
      </w:r>
      <w:r w:rsidR="00A4756E">
        <w:rPr>
          <w:rFonts w:ascii="Arial" w:hAnsi="Arial" w:cs="Arial"/>
        </w:rPr>
        <w:t>throughout</w:t>
      </w:r>
      <w:r w:rsidR="008B1045" w:rsidRPr="008B1045">
        <w:rPr>
          <w:rFonts w:ascii="Arial" w:hAnsi="Arial" w:cs="Arial"/>
        </w:rPr>
        <w:t xml:space="preserve"> the </w:t>
      </w:r>
      <w:r w:rsidR="00A4756E">
        <w:rPr>
          <w:rFonts w:ascii="Arial" w:hAnsi="Arial" w:cs="Arial"/>
        </w:rPr>
        <w:t>Circular Head a</w:t>
      </w:r>
      <w:r w:rsidR="008B1045" w:rsidRPr="008B1045">
        <w:rPr>
          <w:rFonts w:ascii="Arial" w:hAnsi="Arial" w:cs="Arial"/>
        </w:rPr>
        <w:t>rea.  In addition to the children who participated in reading, friends</w:t>
      </w:r>
      <w:r w:rsidR="00A4756E">
        <w:rPr>
          <w:rFonts w:ascii="Arial" w:hAnsi="Arial" w:cs="Arial"/>
        </w:rPr>
        <w:t>,</w:t>
      </w:r>
      <w:r w:rsidR="008B1045" w:rsidRPr="008B1045">
        <w:rPr>
          <w:rFonts w:ascii="Arial" w:hAnsi="Arial" w:cs="Arial"/>
        </w:rPr>
        <w:t xml:space="preserve"> parents and caregivers were also exposed to and engaged with the program.</w:t>
      </w:r>
    </w:p>
    <w:p w:rsidR="00EB358E" w:rsidRPr="008B1045" w:rsidRDefault="00EB358E" w:rsidP="00D85E21">
      <w:pPr>
        <w:spacing w:after="0" w:line="240" w:lineRule="auto"/>
        <w:ind w:left="426"/>
        <w:rPr>
          <w:rFonts w:ascii="Arial" w:hAnsi="Arial" w:cs="Arial"/>
        </w:rPr>
      </w:pPr>
    </w:p>
    <w:p w:rsidR="008B1045" w:rsidRDefault="00EB358E" w:rsidP="00D85E21">
      <w:pPr>
        <w:spacing w:after="0" w:line="240" w:lineRule="auto"/>
        <w:ind w:left="426"/>
        <w:rPr>
          <w:rFonts w:ascii="Arial" w:hAnsi="Arial" w:cs="Arial"/>
        </w:rPr>
      </w:pPr>
      <w:r w:rsidRPr="008B1045">
        <w:rPr>
          <w:rFonts w:ascii="Arial" w:hAnsi="Arial" w:cs="Arial"/>
        </w:rPr>
        <w:t>LGAT CEO</w:t>
      </w:r>
      <w:r>
        <w:rPr>
          <w:rFonts w:ascii="Arial" w:hAnsi="Arial" w:cs="Arial"/>
        </w:rPr>
        <w:t>,</w:t>
      </w:r>
      <w:r w:rsidRPr="008B1045">
        <w:rPr>
          <w:rFonts w:ascii="Arial" w:hAnsi="Arial" w:cs="Arial"/>
        </w:rPr>
        <w:t xml:space="preserve"> </w:t>
      </w:r>
      <w:r w:rsidR="00A541F1">
        <w:rPr>
          <w:rFonts w:ascii="Arial" w:hAnsi="Arial" w:cs="Arial"/>
        </w:rPr>
        <w:t xml:space="preserve">Dr </w:t>
      </w:r>
      <w:r w:rsidRPr="008B1045">
        <w:rPr>
          <w:rFonts w:ascii="Arial" w:hAnsi="Arial" w:cs="Arial"/>
        </w:rPr>
        <w:t xml:space="preserve">Katrena Stephenson said </w:t>
      </w:r>
      <w:r>
        <w:rPr>
          <w:rFonts w:ascii="Arial" w:hAnsi="Arial" w:cs="Arial"/>
        </w:rPr>
        <w:t xml:space="preserve">the </w:t>
      </w:r>
      <w:r w:rsidR="008B1045" w:rsidRPr="008B1045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is</w:t>
      </w:r>
      <w:r w:rsidR="008B1045" w:rsidRPr="008B1045">
        <w:rPr>
          <w:rFonts w:ascii="Arial" w:hAnsi="Arial" w:cs="Arial"/>
        </w:rPr>
        <w:t xml:space="preserve"> a great example of Local Government delivering excellence through collaboration</w:t>
      </w:r>
      <w:r w:rsidR="00734AC8">
        <w:rPr>
          <w:rFonts w:ascii="Arial" w:hAnsi="Arial" w:cs="Arial"/>
        </w:rPr>
        <w:t xml:space="preserve"> and partnerships,</w:t>
      </w:r>
      <w:r w:rsidR="008B1045" w:rsidRPr="008B1045">
        <w:rPr>
          <w:rFonts w:ascii="Arial" w:hAnsi="Arial" w:cs="Arial"/>
        </w:rPr>
        <w:t xml:space="preserve"> partnership </w:t>
      </w:r>
      <w:r w:rsidR="00A541F1">
        <w:rPr>
          <w:rFonts w:ascii="Arial" w:hAnsi="Arial" w:cs="Arial"/>
        </w:rPr>
        <w:t xml:space="preserve">with the </w:t>
      </w:r>
      <w:r w:rsidR="008B1045" w:rsidRPr="008B1045">
        <w:rPr>
          <w:rFonts w:ascii="Arial" w:hAnsi="Arial" w:cs="Arial"/>
        </w:rPr>
        <w:t>deliver</w:t>
      </w:r>
      <w:r w:rsidR="00A541F1">
        <w:rPr>
          <w:rFonts w:ascii="Arial" w:hAnsi="Arial" w:cs="Arial"/>
        </w:rPr>
        <w:t>y of</w:t>
      </w:r>
      <w:r w:rsidR="008B1045" w:rsidRPr="008B1045">
        <w:rPr>
          <w:rFonts w:ascii="Arial" w:hAnsi="Arial" w:cs="Arial"/>
        </w:rPr>
        <w:t xml:space="preserve"> an innovative program addressing an identified community need. </w:t>
      </w:r>
    </w:p>
    <w:p w:rsidR="00EB358E" w:rsidRDefault="00EB358E" w:rsidP="00D85E21">
      <w:pPr>
        <w:spacing w:after="0" w:line="240" w:lineRule="auto"/>
        <w:ind w:left="426"/>
        <w:rPr>
          <w:rFonts w:ascii="Arial" w:hAnsi="Arial" w:cs="Arial"/>
        </w:rPr>
      </w:pPr>
    </w:p>
    <w:p w:rsidR="00AD00C2" w:rsidRPr="00AD00C2" w:rsidRDefault="00EB358E" w:rsidP="00D85E21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Clarence City Council's</w:t>
      </w:r>
      <w:r w:rsidR="00AD00C2" w:rsidRPr="00AD00C2">
        <w:rPr>
          <w:rFonts w:ascii="Arial" w:hAnsi="Arial" w:cs="Arial"/>
        </w:rPr>
        <w:t xml:space="preserve"> </w:t>
      </w:r>
      <w:proofErr w:type="spellStart"/>
      <w:r w:rsidR="00AD00C2" w:rsidRPr="00EB358E">
        <w:rPr>
          <w:rFonts w:ascii="Arial" w:hAnsi="Arial" w:cs="Arial"/>
          <w:i/>
        </w:rPr>
        <w:t>aWake</w:t>
      </w:r>
      <w:proofErr w:type="spellEnd"/>
      <w:r w:rsidR="00AD00C2" w:rsidRPr="00EB358E">
        <w:rPr>
          <w:rFonts w:ascii="Arial" w:hAnsi="Arial" w:cs="Arial"/>
          <w:i/>
        </w:rPr>
        <w:t xml:space="preserve"> Before Death</w:t>
      </w:r>
      <w:r w:rsidR="00AD00C2">
        <w:rPr>
          <w:rFonts w:ascii="Arial" w:hAnsi="Arial" w:cs="Arial"/>
        </w:rPr>
        <w:t xml:space="preserve"> </w:t>
      </w:r>
      <w:r w:rsidR="00485A77">
        <w:rPr>
          <w:rFonts w:ascii="Arial" w:hAnsi="Arial" w:cs="Arial"/>
        </w:rPr>
        <w:t xml:space="preserve">project </w:t>
      </w:r>
      <w:r w:rsidR="00AD00C2">
        <w:rPr>
          <w:rFonts w:ascii="Arial" w:hAnsi="Arial" w:cs="Arial"/>
        </w:rPr>
        <w:t xml:space="preserve">was created </w:t>
      </w:r>
      <w:r w:rsidR="00AD00C2" w:rsidRPr="00AD00C2">
        <w:rPr>
          <w:rFonts w:ascii="Arial" w:hAnsi="Arial" w:cs="Arial"/>
        </w:rPr>
        <w:t xml:space="preserve">to provide the opportunity for people of all ages to have meaningful conversations about death, grief and end-of-life planning in a safe and supportive environment.  Research indicated, </w:t>
      </w:r>
      <w:r w:rsidR="00A541F1">
        <w:rPr>
          <w:rFonts w:ascii="Arial" w:hAnsi="Arial" w:cs="Arial"/>
        </w:rPr>
        <w:t xml:space="preserve">despite the sensitivity of the </w:t>
      </w:r>
      <w:r w:rsidR="00AD00C2" w:rsidRPr="00AD00C2">
        <w:rPr>
          <w:rFonts w:ascii="Arial" w:hAnsi="Arial" w:cs="Arial"/>
        </w:rPr>
        <w:t xml:space="preserve"> topic, increas</w:t>
      </w:r>
      <w:r w:rsidR="00A541F1">
        <w:rPr>
          <w:rFonts w:ascii="Arial" w:hAnsi="Arial" w:cs="Arial"/>
        </w:rPr>
        <w:t>ed</w:t>
      </w:r>
      <w:r w:rsidR="00AD00C2" w:rsidRPr="00AD00C2">
        <w:rPr>
          <w:rFonts w:ascii="Arial" w:hAnsi="Arial" w:cs="Arial"/>
        </w:rPr>
        <w:t xml:space="preserve"> promotion and education o</w:t>
      </w:r>
      <w:r w:rsidR="00A541F1">
        <w:rPr>
          <w:rFonts w:ascii="Arial" w:hAnsi="Arial" w:cs="Arial"/>
        </w:rPr>
        <w:t>n</w:t>
      </w:r>
      <w:r w:rsidR="00AD00C2" w:rsidRPr="00AD00C2">
        <w:rPr>
          <w:rFonts w:ascii="Arial" w:hAnsi="Arial" w:cs="Arial"/>
        </w:rPr>
        <w:t xml:space="preserve"> end-of-life planning </w:t>
      </w:r>
      <w:r w:rsidR="00A541F1">
        <w:rPr>
          <w:rFonts w:ascii="Arial" w:hAnsi="Arial" w:cs="Arial"/>
        </w:rPr>
        <w:t>is</w:t>
      </w:r>
      <w:r w:rsidR="00A541F1" w:rsidRPr="00AD00C2">
        <w:rPr>
          <w:rFonts w:ascii="Arial" w:hAnsi="Arial" w:cs="Arial"/>
        </w:rPr>
        <w:t xml:space="preserve"> </w:t>
      </w:r>
      <w:r w:rsidR="00AD00C2" w:rsidRPr="00AD00C2">
        <w:rPr>
          <w:rFonts w:ascii="Arial" w:hAnsi="Arial" w:cs="Arial"/>
        </w:rPr>
        <w:t>beneficial if handled in a supportive</w:t>
      </w:r>
      <w:r>
        <w:rPr>
          <w:rFonts w:ascii="Arial" w:hAnsi="Arial" w:cs="Arial"/>
        </w:rPr>
        <w:t xml:space="preserve">, </w:t>
      </w:r>
      <w:r w:rsidR="00AD00C2" w:rsidRPr="00AD00C2">
        <w:rPr>
          <w:rFonts w:ascii="Arial" w:hAnsi="Arial" w:cs="Arial"/>
        </w:rPr>
        <w:t>open way.</w:t>
      </w:r>
    </w:p>
    <w:p w:rsidR="00AD00C2" w:rsidRPr="00AD00C2" w:rsidRDefault="00AD00C2" w:rsidP="00D85E21">
      <w:pPr>
        <w:spacing w:after="0" w:line="240" w:lineRule="auto"/>
        <w:rPr>
          <w:rFonts w:ascii="Arial" w:hAnsi="Arial" w:cs="Arial"/>
        </w:rPr>
      </w:pPr>
    </w:p>
    <w:p w:rsidR="00734AC8" w:rsidRDefault="00734AC8" w:rsidP="00D85E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34AC8" w:rsidRDefault="00734AC8" w:rsidP="00D85E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34AC8" w:rsidRDefault="00734AC8" w:rsidP="00D85E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34AC8" w:rsidRDefault="00734AC8" w:rsidP="00734AC8">
      <w:pPr>
        <w:pStyle w:val="ListParagraph"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Page 1/2</w:t>
      </w:r>
    </w:p>
    <w:p w:rsidR="00734AC8" w:rsidRDefault="00734AC8" w:rsidP="00D85E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016F3" w:rsidRDefault="00A541F1" w:rsidP="00D85E21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initiative was a</w:t>
      </w:r>
      <w:r w:rsidRPr="00AD00C2">
        <w:rPr>
          <w:rFonts w:ascii="Arial" w:hAnsi="Arial" w:cs="Arial"/>
        </w:rPr>
        <w:t xml:space="preserve"> </w:t>
      </w:r>
      <w:r w:rsidR="00AD00C2" w:rsidRPr="00AD00C2">
        <w:rPr>
          <w:rFonts w:ascii="Arial" w:hAnsi="Arial" w:cs="Arial"/>
        </w:rPr>
        <w:t>collaboration between Clarence Council’s Positive Aging Network, non-government, gover</w:t>
      </w:r>
      <w:r w:rsidR="00EB358E">
        <w:rPr>
          <w:rFonts w:ascii="Arial" w:hAnsi="Arial" w:cs="Arial"/>
        </w:rPr>
        <w:t>nment and private enterprise</w:t>
      </w:r>
      <w:r>
        <w:rPr>
          <w:rFonts w:ascii="Arial" w:hAnsi="Arial" w:cs="Arial"/>
        </w:rPr>
        <w:t>.</w:t>
      </w:r>
      <w:r w:rsidR="00734A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  <w:i/>
        </w:rPr>
        <w:t>aWake</w:t>
      </w:r>
      <w:proofErr w:type="spellEnd"/>
      <w:r>
        <w:rPr>
          <w:rFonts w:ascii="Arial" w:hAnsi="Arial" w:cs="Arial"/>
          <w:i/>
        </w:rPr>
        <w:t xml:space="preserve"> Before Death</w:t>
      </w:r>
      <w:r>
        <w:rPr>
          <w:rFonts w:ascii="Arial" w:hAnsi="Arial" w:cs="Arial"/>
        </w:rPr>
        <w:t xml:space="preserve">  </w:t>
      </w:r>
      <w:r w:rsidR="00EB358E">
        <w:rPr>
          <w:rFonts w:ascii="Arial" w:hAnsi="Arial" w:cs="Arial"/>
        </w:rPr>
        <w:t>initiative</w:t>
      </w:r>
      <w:r w:rsidR="00AD00C2" w:rsidRPr="00AD00C2">
        <w:rPr>
          <w:rFonts w:ascii="Arial" w:hAnsi="Arial" w:cs="Arial"/>
        </w:rPr>
        <w:t xml:space="preserve"> aimed to capture conversations about death and dying on film which were then turned into a portfolio of quality, flexible and sustainable educational and training resources for wider community benefit.</w:t>
      </w:r>
      <w:r w:rsidR="00EB358E">
        <w:rPr>
          <w:rFonts w:ascii="Arial" w:hAnsi="Arial" w:cs="Arial"/>
        </w:rPr>
        <w:t xml:space="preserve">  </w:t>
      </w:r>
      <w:r w:rsidR="00AD00C2" w:rsidRPr="00AD00C2">
        <w:rPr>
          <w:rFonts w:ascii="Arial" w:hAnsi="Arial" w:cs="Arial"/>
        </w:rPr>
        <w:t>Doing this through a community development process ensured discussion of death, dying, end of life care planning and bereavement helped build capacity and resilience by learning from others.</w:t>
      </w:r>
    </w:p>
    <w:p w:rsidR="00734AC8" w:rsidRDefault="00734AC8" w:rsidP="00D85E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D00C2" w:rsidRPr="00AD00C2" w:rsidRDefault="00AD00C2" w:rsidP="00485A77">
      <w:pPr>
        <w:pStyle w:val="ListParagraph"/>
        <w:spacing w:after="0" w:line="240" w:lineRule="auto"/>
        <w:ind w:left="357"/>
        <w:rPr>
          <w:rFonts w:ascii="Arial" w:hAnsi="Arial" w:cs="Arial"/>
        </w:rPr>
      </w:pPr>
      <w:r w:rsidRPr="00AD00C2">
        <w:rPr>
          <w:rFonts w:ascii="Arial" w:hAnsi="Arial" w:cs="Arial"/>
        </w:rPr>
        <w:t xml:space="preserve">The project had wider benefit </w:t>
      </w:r>
      <w:r w:rsidR="00EB358E">
        <w:rPr>
          <w:rFonts w:ascii="Arial" w:hAnsi="Arial" w:cs="Arial"/>
        </w:rPr>
        <w:t>when</w:t>
      </w:r>
      <w:r w:rsidRPr="00AD00C2">
        <w:rPr>
          <w:rFonts w:ascii="Arial" w:hAnsi="Arial" w:cs="Arial"/>
        </w:rPr>
        <w:t xml:space="preserve"> the video created from the conversations </w:t>
      </w:r>
      <w:r w:rsidR="00EB358E">
        <w:rPr>
          <w:rFonts w:ascii="Arial" w:hAnsi="Arial" w:cs="Arial"/>
        </w:rPr>
        <w:t xml:space="preserve">was </w:t>
      </w:r>
      <w:r w:rsidRPr="00AD00C2">
        <w:rPr>
          <w:rFonts w:ascii="Arial" w:hAnsi="Arial" w:cs="Arial"/>
        </w:rPr>
        <w:t xml:space="preserve">showcased at </w:t>
      </w:r>
      <w:r w:rsidRPr="006A02D1">
        <w:rPr>
          <w:rFonts w:ascii="Arial" w:hAnsi="Arial" w:cs="Arial"/>
        </w:rPr>
        <w:t>the MOFO Arts festival</w:t>
      </w:r>
      <w:r w:rsidR="00EB358E" w:rsidRPr="006A02D1">
        <w:rPr>
          <w:rFonts w:ascii="Arial" w:hAnsi="Arial" w:cs="Arial"/>
        </w:rPr>
        <w:t>.</w:t>
      </w:r>
      <w:r w:rsidR="00EB358E">
        <w:rPr>
          <w:rFonts w:ascii="Arial" w:hAnsi="Arial" w:cs="Arial"/>
        </w:rPr>
        <w:t xml:space="preserve">  </w:t>
      </w:r>
      <w:r w:rsidRPr="00AD00C2">
        <w:rPr>
          <w:rFonts w:ascii="Arial" w:hAnsi="Arial" w:cs="Arial"/>
        </w:rPr>
        <w:t>The portfolio has been adapted and distributed widely as a valuable palliative care resource.  The project also supports</w:t>
      </w:r>
      <w:r>
        <w:rPr>
          <w:rFonts w:ascii="Arial" w:hAnsi="Arial" w:cs="Arial"/>
        </w:rPr>
        <w:t xml:space="preserve"> Clarence City</w:t>
      </w:r>
      <w:r w:rsidRPr="00AD00C2">
        <w:rPr>
          <w:rFonts w:ascii="Arial" w:hAnsi="Arial" w:cs="Arial"/>
        </w:rPr>
        <w:t xml:space="preserve"> Council’s World Health Organisation status as Tasmania’s first Age Friendly City and Community.</w:t>
      </w:r>
    </w:p>
    <w:p w:rsidR="00AD00C2" w:rsidRPr="00AD00C2" w:rsidRDefault="00AD00C2" w:rsidP="00485A77">
      <w:pPr>
        <w:spacing w:after="0" w:line="240" w:lineRule="auto"/>
        <w:ind w:left="357"/>
        <w:rPr>
          <w:rFonts w:ascii="Arial" w:hAnsi="Arial" w:cs="Arial"/>
        </w:rPr>
      </w:pPr>
    </w:p>
    <w:p w:rsidR="00AD00C2" w:rsidRDefault="00D85E21" w:rsidP="00485A77">
      <w:pPr>
        <w:pStyle w:val="ListParagraph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"T</w:t>
      </w:r>
      <w:r w:rsidR="00AD00C2" w:rsidRPr="00AD00C2">
        <w:rPr>
          <w:rFonts w:ascii="Arial" w:hAnsi="Arial" w:cs="Arial"/>
        </w:rPr>
        <w:t>here was no doubt this project could be applied in many jurisdictions across the nation to address an important lifecycle,</w:t>
      </w:r>
      <w:r>
        <w:rPr>
          <w:rFonts w:ascii="Arial" w:hAnsi="Arial" w:cs="Arial"/>
        </w:rPr>
        <w:t xml:space="preserve"> family and community challenge," </w:t>
      </w:r>
      <w:r w:rsidR="00A541F1">
        <w:rPr>
          <w:rFonts w:ascii="Arial" w:hAnsi="Arial" w:cs="Arial"/>
        </w:rPr>
        <w:t xml:space="preserve">Dr </w:t>
      </w:r>
      <w:r>
        <w:rPr>
          <w:rFonts w:ascii="Arial" w:hAnsi="Arial" w:cs="Arial"/>
        </w:rPr>
        <w:t>Stephenson said.</w:t>
      </w:r>
    </w:p>
    <w:p w:rsidR="00485A77" w:rsidRDefault="00485A77" w:rsidP="00485A77">
      <w:pPr>
        <w:spacing w:after="0" w:line="240" w:lineRule="auto"/>
        <w:ind w:left="357"/>
        <w:rPr>
          <w:rFonts w:ascii="Arial" w:hAnsi="Arial" w:cs="Arial"/>
        </w:rPr>
      </w:pPr>
    </w:p>
    <w:p w:rsidR="00C016F3" w:rsidRPr="008B1045" w:rsidRDefault="00C016F3" w:rsidP="00485A77">
      <w:pPr>
        <w:spacing w:after="0" w:line="240" w:lineRule="auto"/>
        <w:ind w:left="357"/>
        <w:rPr>
          <w:rFonts w:ascii="Arial" w:hAnsi="Arial" w:cs="Arial"/>
        </w:rPr>
      </w:pPr>
      <w:r w:rsidRPr="008B1045">
        <w:rPr>
          <w:rFonts w:ascii="Arial" w:hAnsi="Arial" w:cs="Arial"/>
        </w:rPr>
        <w:t xml:space="preserve">Sponsored by MAV Insurance, the </w:t>
      </w:r>
      <w:r w:rsidR="00523A57">
        <w:rPr>
          <w:rFonts w:ascii="Arial" w:hAnsi="Arial" w:cs="Arial"/>
        </w:rPr>
        <w:t>Local Government Awards for Excellence</w:t>
      </w:r>
      <w:r w:rsidRPr="008B1045">
        <w:rPr>
          <w:rFonts w:ascii="Arial" w:hAnsi="Arial" w:cs="Arial"/>
        </w:rPr>
        <w:t xml:space="preserve"> aim to promote outstanding achievement and to inspire leading management practice and continuous improvement among Tasmanian councils.</w:t>
      </w:r>
    </w:p>
    <w:p w:rsidR="00C016F3" w:rsidRDefault="00C016F3" w:rsidP="00485A77">
      <w:pPr>
        <w:spacing w:after="0" w:line="240" w:lineRule="auto"/>
        <w:ind w:left="357"/>
        <w:rPr>
          <w:rFonts w:ascii="Arial" w:hAnsi="Arial" w:cs="Arial"/>
        </w:rPr>
      </w:pPr>
    </w:p>
    <w:p w:rsidR="00C016F3" w:rsidRDefault="00C016F3" w:rsidP="00485A7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B1045">
        <w:rPr>
          <w:rFonts w:ascii="Arial" w:hAnsi="Arial" w:cs="Arial"/>
        </w:rPr>
        <w:t xml:space="preserve">he awards </w:t>
      </w:r>
      <w:r>
        <w:rPr>
          <w:rFonts w:ascii="Arial" w:hAnsi="Arial" w:cs="Arial"/>
        </w:rPr>
        <w:t>were</w:t>
      </w:r>
      <w:r w:rsidRPr="008B1045">
        <w:rPr>
          <w:rFonts w:ascii="Arial" w:hAnsi="Arial" w:cs="Arial"/>
        </w:rPr>
        <w:t xml:space="preserve"> presented </w:t>
      </w:r>
      <w:r>
        <w:rPr>
          <w:rFonts w:ascii="Arial" w:hAnsi="Arial" w:cs="Arial"/>
        </w:rPr>
        <w:t xml:space="preserve">on 22 July </w:t>
      </w:r>
      <w:r w:rsidRPr="008B1045">
        <w:rPr>
          <w:rFonts w:ascii="Arial" w:hAnsi="Arial" w:cs="Arial"/>
        </w:rPr>
        <w:t xml:space="preserve">at the </w:t>
      </w:r>
      <w:r>
        <w:rPr>
          <w:rFonts w:ascii="Arial" w:hAnsi="Arial" w:cs="Arial"/>
        </w:rPr>
        <w:t>annual Local Government C</w:t>
      </w:r>
      <w:r w:rsidRPr="008B1045">
        <w:rPr>
          <w:rFonts w:ascii="Arial" w:hAnsi="Arial" w:cs="Arial"/>
        </w:rPr>
        <w:t>onference</w:t>
      </w:r>
      <w:r>
        <w:rPr>
          <w:rFonts w:ascii="Arial" w:hAnsi="Arial" w:cs="Arial"/>
        </w:rPr>
        <w:t>, held</w:t>
      </w:r>
      <w:r w:rsidRPr="008B1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C3 Convention Centre in Hobart.  </w:t>
      </w:r>
    </w:p>
    <w:p w:rsidR="00C016F3" w:rsidRDefault="00C016F3" w:rsidP="00485A77">
      <w:pPr>
        <w:spacing w:after="0" w:line="240" w:lineRule="auto"/>
        <w:ind w:left="357"/>
        <w:rPr>
          <w:rFonts w:ascii="Arial" w:hAnsi="Arial" w:cs="Arial"/>
        </w:rPr>
      </w:pPr>
    </w:p>
    <w:p w:rsidR="00C016F3" w:rsidRPr="008B1045" w:rsidRDefault="00C016F3" w:rsidP="00485A77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Ends....</w:t>
      </w:r>
    </w:p>
    <w:p w:rsidR="00C016F3" w:rsidRDefault="00C016F3" w:rsidP="00485A77">
      <w:pPr>
        <w:spacing w:after="0" w:line="240" w:lineRule="auto"/>
        <w:ind w:left="357"/>
        <w:rPr>
          <w:rFonts w:ascii="Arial" w:hAnsi="Arial" w:cs="Arial"/>
        </w:rPr>
      </w:pPr>
    </w:p>
    <w:p w:rsidR="00C016F3" w:rsidRPr="008B1045" w:rsidRDefault="00C016F3" w:rsidP="00C016F3">
      <w:pPr>
        <w:spacing w:after="0" w:line="240" w:lineRule="auto"/>
        <w:rPr>
          <w:rFonts w:ascii="Arial" w:hAnsi="Arial" w:cs="Arial"/>
        </w:rPr>
      </w:pPr>
    </w:p>
    <w:p w:rsidR="00703831" w:rsidRPr="00D85E21" w:rsidRDefault="00703831" w:rsidP="00D85E21">
      <w:pPr>
        <w:spacing w:after="0" w:line="240" w:lineRule="auto"/>
        <w:ind w:left="426"/>
        <w:jc w:val="center"/>
        <w:rPr>
          <w:rFonts w:ascii="Arial" w:eastAsia="Times New Roman" w:hAnsi="Arial" w:cs="Arial"/>
          <w:b/>
        </w:rPr>
      </w:pPr>
    </w:p>
    <w:p w:rsidR="00D85E21" w:rsidRPr="00D85E21" w:rsidRDefault="00D85E21" w:rsidP="00D85E21">
      <w:pPr>
        <w:spacing w:after="0" w:line="240" w:lineRule="auto"/>
        <w:ind w:left="426"/>
        <w:jc w:val="center"/>
        <w:rPr>
          <w:rFonts w:ascii="Arial" w:eastAsia="Times New Roman" w:hAnsi="Arial" w:cs="Arial"/>
          <w:b/>
        </w:rPr>
      </w:pPr>
      <w:r w:rsidRPr="00D85E21">
        <w:rPr>
          <w:rFonts w:ascii="Arial" w:eastAsia="Times New Roman" w:hAnsi="Arial" w:cs="Arial"/>
          <w:b/>
        </w:rPr>
        <w:t>For m</w:t>
      </w:r>
      <w:r w:rsidR="00E51ACF" w:rsidRPr="00D85E21">
        <w:rPr>
          <w:rFonts w:ascii="Arial" w:eastAsia="Times New Roman" w:hAnsi="Arial" w:cs="Arial"/>
          <w:b/>
        </w:rPr>
        <w:t>edia enquiries</w:t>
      </w:r>
      <w:r w:rsidRPr="00D85E21">
        <w:rPr>
          <w:rFonts w:ascii="Arial" w:eastAsia="Times New Roman" w:hAnsi="Arial" w:cs="Arial"/>
          <w:b/>
        </w:rPr>
        <w:t xml:space="preserve"> and photos,</w:t>
      </w:r>
    </w:p>
    <w:p w:rsidR="00E51ACF" w:rsidRPr="00D85E21" w:rsidRDefault="00D85E21" w:rsidP="00D85E21">
      <w:pPr>
        <w:spacing w:after="0" w:line="240" w:lineRule="auto"/>
        <w:ind w:left="426"/>
        <w:jc w:val="center"/>
        <w:rPr>
          <w:rFonts w:ascii="Arial" w:eastAsia="Times New Roman" w:hAnsi="Arial" w:cs="Arial"/>
          <w:b/>
        </w:rPr>
      </w:pPr>
      <w:r w:rsidRPr="00D85E21">
        <w:rPr>
          <w:rFonts w:ascii="Arial" w:eastAsia="Times New Roman" w:hAnsi="Arial" w:cs="Arial"/>
          <w:b/>
        </w:rPr>
        <w:t xml:space="preserve">please contact </w:t>
      </w:r>
      <w:r w:rsidR="00E51ACF" w:rsidRPr="00D85E21">
        <w:rPr>
          <w:rFonts w:ascii="Arial" w:eastAsia="Times New Roman" w:hAnsi="Arial" w:cs="Arial"/>
          <w:b/>
        </w:rPr>
        <w:t xml:space="preserve">Keryn Nylander, Nylander Consulting, </w:t>
      </w:r>
      <w:r w:rsidRPr="00D85E21">
        <w:rPr>
          <w:rFonts w:ascii="Arial" w:eastAsia="Times New Roman" w:hAnsi="Arial" w:cs="Arial"/>
          <w:b/>
        </w:rPr>
        <w:t xml:space="preserve">on </w:t>
      </w:r>
      <w:r w:rsidR="00E51ACF" w:rsidRPr="00D85E21">
        <w:rPr>
          <w:rFonts w:ascii="Arial" w:eastAsia="Times New Roman" w:hAnsi="Arial" w:cs="Arial"/>
          <w:b/>
        </w:rPr>
        <w:t>0418 996 536</w:t>
      </w:r>
    </w:p>
    <w:p w:rsidR="00C340D0" w:rsidRDefault="00C340D0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Default="00C016F3" w:rsidP="00D85E21">
      <w:pPr>
        <w:pStyle w:val="BodyText"/>
        <w:ind w:left="426"/>
        <w:rPr>
          <w:rFonts w:ascii="Arial" w:hAnsi="Arial" w:cs="Arial"/>
          <w:sz w:val="22"/>
          <w:szCs w:val="22"/>
        </w:rPr>
      </w:pPr>
    </w:p>
    <w:p w:rsidR="00C016F3" w:rsidRPr="003B2CCD" w:rsidRDefault="00734AC8" w:rsidP="00734AC8">
      <w:pPr>
        <w:pStyle w:val="BodyText"/>
        <w:ind w:left="4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Page 2/2</w:t>
      </w:r>
    </w:p>
    <w:sectPr w:rsidR="00C016F3" w:rsidRPr="003B2CCD" w:rsidSect="00C016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A7" w:rsidRDefault="00406DA7" w:rsidP="00B1521F">
      <w:pPr>
        <w:spacing w:after="0" w:line="240" w:lineRule="auto"/>
      </w:pPr>
      <w:r>
        <w:separator/>
      </w:r>
    </w:p>
  </w:endnote>
  <w:endnote w:type="continuationSeparator" w:id="1">
    <w:p w:rsidR="00406DA7" w:rsidRDefault="00406DA7" w:rsidP="00B1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A7" w:rsidRDefault="00406DA7" w:rsidP="00B1521F">
      <w:pPr>
        <w:spacing w:after="0" w:line="240" w:lineRule="auto"/>
      </w:pPr>
      <w:r>
        <w:separator/>
      </w:r>
    </w:p>
  </w:footnote>
  <w:footnote w:type="continuationSeparator" w:id="1">
    <w:p w:rsidR="00406DA7" w:rsidRDefault="00406DA7" w:rsidP="00B1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27" w:rsidRDefault="009D0027" w:rsidP="00B1521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77A4"/>
    <w:multiLevelType w:val="hybridMultilevel"/>
    <w:tmpl w:val="E9FCF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27B33"/>
    <w:multiLevelType w:val="hybridMultilevel"/>
    <w:tmpl w:val="6DD64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1612"/>
    <w:multiLevelType w:val="hybridMultilevel"/>
    <w:tmpl w:val="C916DCE8"/>
    <w:lvl w:ilvl="0" w:tplc="CC6CE744">
      <w:start w:val="2016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F8F7E02"/>
    <w:multiLevelType w:val="hybridMultilevel"/>
    <w:tmpl w:val="C574868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EB372C7"/>
    <w:multiLevelType w:val="hybridMultilevel"/>
    <w:tmpl w:val="D298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521F"/>
    <w:rsid w:val="0006702F"/>
    <w:rsid w:val="000E2BE5"/>
    <w:rsid w:val="001132F8"/>
    <w:rsid w:val="00113C8D"/>
    <w:rsid w:val="00145C7B"/>
    <w:rsid w:val="0018176F"/>
    <w:rsid w:val="001A24C8"/>
    <w:rsid w:val="001A2940"/>
    <w:rsid w:val="001B0798"/>
    <w:rsid w:val="00211453"/>
    <w:rsid w:val="00220AAD"/>
    <w:rsid w:val="00267F94"/>
    <w:rsid w:val="00294B15"/>
    <w:rsid w:val="002A5E30"/>
    <w:rsid w:val="002A750C"/>
    <w:rsid w:val="003527C6"/>
    <w:rsid w:val="00380643"/>
    <w:rsid w:val="00386525"/>
    <w:rsid w:val="003B2CCD"/>
    <w:rsid w:val="003D2CCE"/>
    <w:rsid w:val="00406DA7"/>
    <w:rsid w:val="00466F18"/>
    <w:rsid w:val="00485A77"/>
    <w:rsid w:val="00523A57"/>
    <w:rsid w:val="00535AD1"/>
    <w:rsid w:val="00587BC7"/>
    <w:rsid w:val="005F103D"/>
    <w:rsid w:val="00605932"/>
    <w:rsid w:val="00623899"/>
    <w:rsid w:val="00687FC3"/>
    <w:rsid w:val="006A02D1"/>
    <w:rsid w:val="00703831"/>
    <w:rsid w:val="00716047"/>
    <w:rsid w:val="00734AC8"/>
    <w:rsid w:val="00743CEC"/>
    <w:rsid w:val="0076140A"/>
    <w:rsid w:val="00761B72"/>
    <w:rsid w:val="0076278F"/>
    <w:rsid w:val="00797786"/>
    <w:rsid w:val="007B5726"/>
    <w:rsid w:val="007F1CD5"/>
    <w:rsid w:val="0082442C"/>
    <w:rsid w:val="008B1045"/>
    <w:rsid w:val="00912F5B"/>
    <w:rsid w:val="009226F1"/>
    <w:rsid w:val="00983C12"/>
    <w:rsid w:val="009B0FF9"/>
    <w:rsid w:val="009D0027"/>
    <w:rsid w:val="009F11C7"/>
    <w:rsid w:val="00A4756E"/>
    <w:rsid w:val="00A50EAC"/>
    <w:rsid w:val="00A53C1A"/>
    <w:rsid w:val="00A541F1"/>
    <w:rsid w:val="00AA513E"/>
    <w:rsid w:val="00AD00C2"/>
    <w:rsid w:val="00B1521F"/>
    <w:rsid w:val="00B5524E"/>
    <w:rsid w:val="00BA5965"/>
    <w:rsid w:val="00C016F3"/>
    <w:rsid w:val="00C20668"/>
    <w:rsid w:val="00C340D0"/>
    <w:rsid w:val="00CA7BCD"/>
    <w:rsid w:val="00D82589"/>
    <w:rsid w:val="00D85E21"/>
    <w:rsid w:val="00E37FC0"/>
    <w:rsid w:val="00E51ACF"/>
    <w:rsid w:val="00EB358E"/>
    <w:rsid w:val="00F4286D"/>
    <w:rsid w:val="00F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21F"/>
  </w:style>
  <w:style w:type="paragraph" w:styleId="Footer">
    <w:name w:val="footer"/>
    <w:basedOn w:val="Normal"/>
    <w:link w:val="FooterChar"/>
    <w:uiPriority w:val="99"/>
    <w:semiHidden/>
    <w:unhideWhenUsed/>
    <w:rsid w:val="00B1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21F"/>
  </w:style>
  <w:style w:type="paragraph" w:styleId="BalloonText">
    <w:name w:val="Balloon Text"/>
    <w:basedOn w:val="Normal"/>
    <w:link w:val="BalloonTextChar"/>
    <w:uiPriority w:val="99"/>
    <w:semiHidden/>
    <w:unhideWhenUsed/>
    <w:rsid w:val="00B1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1B7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61B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2F5B"/>
    <w:pPr>
      <w:ind w:left="720"/>
      <w:contextualSpacing/>
    </w:pPr>
  </w:style>
  <w:style w:type="character" w:styleId="Hyperlink">
    <w:name w:val="Hyperlink"/>
    <w:uiPriority w:val="99"/>
    <w:unhideWhenUsed/>
    <w:rsid w:val="002A7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7223-755B-4574-900B-A09A4F5F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dleisser</dc:creator>
  <cp:lastModifiedBy>swatson</cp:lastModifiedBy>
  <cp:revision>2</cp:revision>
  <cp:lastPrinted>2016-06-29T07:09:00Z</cp:lastPrinted>
  <dcterms:created xsi:type="dcterms:W3CDTF">2016-06-29T07:09:00Z</dcterms:created>
  <dcterms:modified xsi:type="dcterms:W3CDTF">2016-06-29T07:09:00Z</dcterms:modified>
</cp:coreProperties>
</file>